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25 vom 23. März 2016</w:t>
      </w:r>
    </w:p>
    <w:p>
      <w:r>
        <w:t>GR Gerichte, 2016-03-23, DE</w:t>
      </w:r>
    </w:p>
    <w:p>
      <w:r>
        <w:rPr>
          <w:b/>
        </w:rPr>
        <w:t xml:space="preserve">Quelle: </w:t>
      </w:r>
      <w:r>
        <w:t>https://mcp.opencaselaw.ch/entscheid/gr_gerichte_ZK2 2014 25</w:t>
      </w:r>
    </w:p>
    <w:p>
      <w:r>
        <w:t>FR: GR_GERICHTE ZK2 2014 25 du 23 mars 2016</w:t>
      </w:r>
    </w:p>
    <w:p>
      <w:r>
        <w:t>IT: GR_GERICHTE ZK2 2014 25 del 23 marzo 2016</w:t>
      </w:r>
    </w:p>
    <w:p>
      <w:pPr>
        <w:pStyle w:val="Heading2"/>
      </w:pPr>
      <w:r>
        <w:t>Regeste</w:t>
      </w:r>
    </w:p>
    <w:p>
      <w:r>
        <w:t>Forderung aus Werkvertrag | Berufung OR Werkvertrag/Verlagsvertrag</w:t>
      </w:r>
    </w:p>
    <w:p>
      <w:pPr>
        <w:pStyle w:val="Heading2"/>
      </w:pPr>
      <w:r>
        <w:t>Erwägungen</w:t>
      </w:r>
    </w:p>
    <w:p>
      <w:r>
        <w:rPr>
          <w:b/>
        </w:rPr>
        <w:t>E. 1</w:t>
      </w:r>
    </w:p>
    <w:p>
      <w:r>
        <w:t>Der Beklagte sei zu verpflichten, der Klägerin CHF 52'231.-- nebst Zins zu 5% seit 17. März 2011 zu bezahlen.</w:t>
      </w:r>
    </w:p>
    <w:p>
      <w:r>
        <w:rPr>
          <w:b/>
        </w:rPr>
        <w:t>E. 2</w:t>
      </w:r>
    </w:p>
    <w:p>
      <w:r>
        <w:t>Für die Forderung gemäss Ziffer 1 sei die vom Beklagten beim Be- zirksgericht Maloja hinterlegte Sicherheitsleistung im Umfang von CHF 52'231.-- nebst Zins zu 5% seit 17. März 2011 der Klägerin herauszu- geben.</w:t>
      </w:r>
    </w:p>
    <w:p>
      <w:r>
        <w:rPr>
          <w:b/>
        </w:rPr>
        <w:t>E. 3</w:t>
      </w:r>
    </w:p>
    <w:p>
      <w:r>
        <w:t>Die Widerklage wird vollumfänglich abgewiesen.</w:t>
      </w:r>
    </w:p>
    <w:p>
      <w:r>
        <w:rPr>
          <w:b/>
        </w:rPr>
        <w:t>E. 4</w:t>
      </w:r>
    </w:p>
    <w:p>
      <w:r>
        <w:t>Die Gerichtskosten dieses Verfahrens in Höhe von CHF 8'000.-- sowie die Kosten der Schlichtungsbehörde in Höhe von CHF 300.-- gehen zu 1/7 zu Lasten der Klägerin und zu 6/7 zu Lasten des Beklagten und werden mit dem geleisteten Vorschuss verrechnet. Die Gerichtskosten aus dem Verfahren betreffend provisorische Ein- tragung eines Bauhandwerkerpfandrechts (Proz. Nr. 135-2011-166) in Höhe von CHF 900.-- sowie die Kosten des Grundbuchamtes Oberen- gadin in Höhe von CHF 68.25 gehen zu 1/7 zu Lasten der Klägerin und zu 6/7 zu Lasten des Beklagten und werden mit dem geleisteten Vorschuss verrechnet. Der Beklagte wird verpflichtet, die Klägerin mit CHF 14'462.90 (inkl. Barauslagen) aussergerichtlich zu entschädigen und ihr den geleiste- ten Vorschuss in Höhe von CHF 5'372.80 (6/7 von CHF 5'300.-- sowie 6/7 von 968.25) zu ersetzen.</w:t>
      </w:r>
    </w:p>
    <w:p>
      <w:r>
        <w:rPr>
          <w:b/>
        </w:rPr>
        <w:t>E. 5</w:t>
      </w:r>
    </w:p>
    <w:p>
      <w:r>
        <w:t>(Rechtsmittelbelehrung).</w:t>
      </w:r>
    </w:p>
    <w:p>
      <w:r>
        <w:rPr>
          <w:b/>
        </w:rPr>
        <w:t>E. 6</w:t>
      </w:r>
    </w:p>
    <w:p>
      <w:r>
        <w:t>(Mitteilung)." Mit Berichtigungsentscheid vom 26. Mai 2014, mitgeteilt am 27. Mai 2014, korri- gierte das Bezirksgericht Maloja Ziff. 4 des Dispositivs dahingehend, als die Be- klagte verpflichtet wurde, die Klägerin mit Fr. 14'462.90 (inkl. Barauslagen) aus- sergerichtlich zu entschädigen und ihr den geleisteten Vorschuss in Höhe von CHF 7'944.20 (6/7 von CHF 8'300.-- sowie 6/7 von CHF 968.25) zu ersetzen. H. Gegen den Entscheid vom 18. Februar 2014 liess X._____ mit Eingabe vom 4. Juni 2014 Berufung an das Kantonsgericht von Graubünden erklären, wo- bei er das folgende Rechtsbegehren stellte:</w:t>
      </w:r>
    </w:p>
    <w:p>
      <w:r>
        <w:t>Seite 5 — 21 "1. Es sei der Entscheid des Bezirksgerichts Maloja vom 18. Februar 2014, mitgeteilt am 2. Mai 2014, aufzuheben; 2. Es sei die Klage abzuweisen; 3. Eventualiter sei die Angelegenheit zur Neubeurteilung an die Vor- instanz zurückzuweisen; Unter Kosten- und Entschädigungsfolgen zzgl. gesetzlicher MwSt. zu Lasten der Berufungsbeklagten." I. In ihrer Berufungsantwort vom 10. Juli 2014 liess die Y._____ die vollum- fängliche Abweisung der Berufung unter Kosten- und Entschädigungsfolge inkl. MWSt zu Lasten des Berufungsklägers beantragen. J. Mit Schreiben vom 11. Juli 2014 teilte der Vorsitzende der II. Zivilkammer des Kantonsgerichts von Graubünden den Parteien mit, dass weder ein weiterer Schriftenwechsel noch eine mündliche Verhandlung vorgesehen sei. Auf die Begründung der Anträge sowie auf die Ausführungen im angefochtenen Entscheid wird, soweit erforderlich, in den nachstehenden Erwägungen eingegan- gen. II. Erwägungen 1. Beim angefochtenen Urteil, welches eine vermögensrechtliche Angelegen- heit mit einem Streitwert von über Fr. 10‘000.-- zum Gegenstand hat, handelt es sich um einen erstinstanzlichen Endentscheid, welcher mit Berufung angefochten werden kann (vgl. Art. 308 Abs. 1 lit. a ZPO). Die Zuständigkeit des Kantonsge- richts von Graubünden ergibt sich aus Art. 7 Abs. 1 des Einführungsgesetzes zur Schweizerischen Zivilprozessordnung (EGzZPO; BR 320.100). Gemäss Art. 311 ZPO ist die Berufung unter Beilage des angefochtenen Entscheids innert 30 Ta- gen seit Zustellung des begründeten Entscheids beziehungsweise seit der nachträglichen Zustellung der Entscheidbegründung schriftlich und begründet ein- zureichen. Der angefochtene Entscheid des Bezirksgerichts Maloja vom 18. Fe- bruar 2014 wurde den Parteien am 2. Mai 2014 mitgeteilt und ging am 5. Mai 2014 (vgl. vorinstanzliche Akten act. I./17) bei X._____ ein. Seine Berufung erfolgte mit Eingabe vom 4. Juni 2014 und somit fristgerecht. Da die Rechtsschrift zudem den übrigen Formerfordernissen entspricht, ist auf sie einzutreten. 2.a) Gegenstand des vorliegenden Berufungsverfahrens bildet die Frage, ob X._____ aufgrund der vertraglichen Vereinbarungen zwischen den Parteien be-</w:t>
      </w:r>
    </w:p>
    <w:p>
      <w:r>
        <w:t>Seite 6 — 21 rechtigt war, vor Fertigstellung der Arbeiten vom Werkvertrag zurückzutreten, die durch die Y._____ noch nicht fertiggestellten Arbeiten durch eine Drittfirma absch- liessen zu lassen und die dadurch entstandenen Zusatzkosten mit den Forderun- gen der Berufungsbeklagten zu verrechnen. Der Berufungskläger begründet seine Vorgehensweise gegenüber der Y._____ damit, dass sich diese mit der Abliefe- rung und Vollendung des bestellten Werkes in Verzug befunden habe. Die Partei- en hätten die Lieferung der Werke innert 30 Tagen nach Erhalt der definitiven Masse vereinbart. Dieser Termin sei nicht eingehalten worden. Entsprechend sei er gestützt auf Art. 366 Abs. 1 OR und Art. 102 ff. OR berechtigt gewesen, vom Vertrag zurückzutreten und die noch nicht erledigten Arbeiten durch eine Drittfirma vornehmen zu lassen. Das Bezirksgericht Maloja gelangte nach Würdigung der Zeugenaussagen und der übrigen Beweismittel zum Ergebnis, dass sich die Par- teien im Vertrag nicht auf einen bestimmten Verfalltag geeinigt haben. Weder aus dem Vertrag vom 18. November 2010 noch aus den übrigen Akten gehe hervor, wann die endgültigen Masse vorgelegen hätten. Insofern sei die Y._____ nicht ohne weiteres 30 Tage nach Vertragsschluss, nämlich am 18. Dezember 2010 in Verzug geraten. X._____ sei daher nicht berechtigt gewesen, gestützt auf Art. 107 OR vom Vertrag zurückzutreten. Ausserdem stellte die Vorinstanz fest, dass sei- tens der Y._____ weder ein Verschulden noch eine objektive Pflichtwidrigkeit im Sinne von Art. 366 Abs. 1 OR angenommen werden könne, weshalb grundsätzlich ein Anspruch auf den vertraglich vereinbarten Werklohn abzüglich der Einsparun- gen infolge der Nichtbeendigung der Arbeit sowie der unbewiesen gebliebenen Mehrkosten für die Boiserie bestehe. Die Widerklage von X._____ auf Erstattung des Mietzinsausfalls über die Festtage wies das Bezirksgericht Maloja vollumfäng- lich ab. Entsprechend den Rügen des Berufungsklägers gilt es nachfolgend na- mentlich zu prüfen, ob der Entscheid der Vorinstanz auf einer angemessenen und willkürfreien Beweiswürdigung beruht. b) Im vorliegenden Verfahren nicht zu prüfen ist die Abweisung der Widerkla- ge von X._____. Zwar verlangt der Berufungskläger in Ziff. 1 seines Rechtsbegeh- rens die Aufhebung des (gesamten) Entscheids des Bezirksgerichts Maloja, dem- zufolge auch hinsichtlich der Widerklage, er unterlässt es jedoch diesbezüglich einen Antrag in der Sache zu stellen und diesen Antrag zu begründen. Fehlt es an einem Antrag in der Sache und an einer hinreichenden Begründung, ist auf das entsprechende Begehren nicht einzutreten (vgl. dazu Reetz/Theiler in: Sutter- Somm/Hasenböhler/Leuenberger [Hrsg.], Kommentar zur Schweizerischen Zivil- prozessordnung, 2. Auflage, Zürich/Basel/Genf 2013, N. 34 ff. zu Art. 34 sowie</w:t>
      </w:r>
    </w:p>
    <w:p>
      <w:r>
        <w:t>Seite 7 — 21 das Urteil des Bundesgerichts 5A_209/2014 vom 2. September 2014 E. 4.2.1 mit Verweis auf 4A_659/2011 vom 7. Dezember 2011 E. 3). 3. Vorweg ist festzuhalten, dass die Bestimmungen von Art. 366 OR und Art. 102 OR entgegen dem, was der Berufungskläger offenbar anzunehmen scheint, nicht deckungsgleich anwendbar sind. Art. 366 OR regelt die Rechtsbe- helfe des Bestellers bei Verzug oder Vertragsverletzung des Unternehmers während der Werkherstellung. Er greift vor Eintritt des Ablieferungstermins ein und befasst sich mit der rechtzeitigen Vornahme der Arbeit. Danach braucht der Be- steller nicht bis zum Ablieferungstermin zuzuwarten, um gegen den säumigen Un- ternehmer vorzugehen. Vielmehr wird bereits der Verzug in der Ausführung des Werkes sanktioniert. Dieser Schuldnerverzug tritt ein, wenn der Unternehmer sich mit der Herstellung des geschuldeten Werkes (objektiv) pflichtwidrig verspätet und vom Besteller, soweit erforderlich, gemahnt wird. Demgegenüber bezieht sich Art. 102 OR auf den Verzug des Unternehmers mit der Ablieferung des hergestell- ten Werkes. Kommt der Unternehmer in Verzug mit der Ablieferung des geschul- deten Werkes (Art. 102 OR), so bestimmt sich die Rechtslage nach den allgemei- nen Art. 103 - 109 OR. Dieser Verzugsfall setzt voraus, dass der Unternehmer trotz Eintritts des Ablieferungstermins das geschuldete Werk (objektiv) pflichtwidrig noch nicht vollendet oder abgeliefert hat. Überdies muss der Besteller den Unter- nehmer gemahnt haben (Art. 102 Abs. 1 OR), es sei denn, eine Mahnung erübrige sich, weil der konkrete Ablieferungstermin ein bestimmter Verfalltag ist (Art. 102 Abs. 2 OR) oder weil die Mahnung sich von vornherein als nutzlos erweist (vgl. zum Ganzen Peter Gauch, Der Werkvertrag, 5. Auflage, Zürich/Basel/Genf 2011, N. 659 ff. und 668 ff.; Peter Lehmann in: Honsell [Hrsg.], Kurzkommentar Obligati- onenrecht, Basel 2014, N. 1 zu Art. 366). 4. Nachfolgend wird zunächst geprüft, ob der Berufungskläger infolge eines Ablieferungsverzugs im Sinne von Art. 102 OR berechtigt war, gemäss Art. 107 OR vom Vertrag zurückzutreten. Die Vorgehensweise nach Art. 107 Abs. 2 OR und damit der Rücktritt vom Vertrag setzt gemäss Art. 107 Abs. 1 OR voraus, dass es sich um einen zweiseitigen Vertrag handelt, der Schuldner sich im Verzug be- findet und eine vom Gläubiger angesetzte, angemessene Frist zur nachträglichen Erfüllung erfolglos abgelaufen ist. Im vorliegenden Fall ist unbestritten, dass es sich um einen synallagmatischen Vertrag handelt, weshalb auf diese Vorausset- zung nicht näher einzugehen ist. Zu prüfen ist im Folgenden, ob sich die Y._____ tatsächlich in Verzug befand und ob die von X._____ angesetzte Nachfrist in ihrer Dauer angemessen war.</w:t>
      </w:r>
    </w:p>
    <w:p>
      <w:r>
        <w:t>Seite 8 — 21 a) Der Schuldnerverzug setzt das Vorliegen der Fälligkeit der Obligation, eine Mahnung oder einen bestimmten Verfalltag sowie das Fehlen verzugsbeseitigen- der beziehungsweise ausschliessender Gründe voraus (vgl. Wolfgang Wiegand, in: Honsell/Vogt/Wiegand [Hrsg.], Basler Kommentar, Obligationenrecht I, 5. Auf- lage, Basel 2011, N. 3 zu Art. 102). Im Bereich des Werkvertragsrechts ist somit vorausgesetzt, dass der Unternehmer trotz Eintritts des Ablieferungstermins das geschuldete Werk (objektiv) pflichtwidrig noch nicht vollendet oder das vollendete Werk pflichtwidrig noch nicht abgeliefert hat. Wurde für die Erfüllung ein bestimm- ter Verfalltag verabredet oder ergibt sich ein solcher infolge einer vorbehaltenen und gehörig vorgenommenen Kündigung, so kommt der Schuldner schon mit Ab- lauf dieses Tages in Verzug (Art. 102 Abs. 2 OR), ansonsten bedarf es einer Mah- nung (Art. 102 Abs. 1 OR). Die weitere Rechtslage bestimmt sich nach den Art. 103 - 109 OR. b) Ob die Parteien einen bestimmten Verfalltag im Sinne von Art. 102 Abs. 2 OR vereinbart haben, beurteilt sich nach dem Inhalt des konkreten Werkvertrags (Peter Gauch, a.a.O., N. 648). Ein Verfalltagsgeschäft liegt vor, wenn die Parteien ein bestimmtes Datum für die Erfüllung vereinbart haben oder wenn sich zumin- dest der Fälligkeitszeitpunkt kalendermässig genau berechnen lässt (Urteil des Bundesgerichts 4A.232/2011 vom 20. September 2011 E. 4.2 mit Hinweisen). Ei- ne Mahnung ist entbehrlich, weil sich der Schuldner unter den genannten Voraus- setzungen ohne besonderen Hinweis darüber im Klaren sein muss, wann er seine Verbindlichkeit zu erfüllen hat (Wolfgang Wiegand a.a.O., N. 10 zu Art. 102). Ein Verfalltag ist nicht ausreichend bestimmt, wenn er abhängig ist vom Eintritt eines zukünftigen, zeitlich ungewissen Ereignisses, selbst wenn das ungewisse Ereignis vom Willen des Schuldners abhängt (Rolf H. Weber, Berner Kommentar, Obligati- onenrecht, Band VI/1./5., Bern 2000, N. 114 zu Art. 102). Eine undeutliche Verfall- tagbestimmung ist im Zweifel als Vereinbarung eines Mahngeschäfts auszulegen (Urteil des Bundesgerichts 4A_87/2010 vom 9. April 2010 E. 6.2 mit Hinweisen). Wenn ein Werkvertrag ein Bauprogramm festlegt, gerät der Unternehmer in der Regel erst durch die Mahnung des Bestellers in Verzug, weil die im Vertrag enthal- tenen Zeitangaben meist nicht Verfalltage sind, wenn die Parteien nicht etwas an- deres vereinbart haben (Weber, a.a.O., N. 116; Gaudenz Zindel/Urs Pulver in: Honsell/Vogt/Wiegand [Hrsg.], Basler Kommentar, Obligationenrecht I, a.a.O., N.</w:t>
      </w:r>
    </w:p>
    <w:p>
      <w:r>
        <w:rPr>
          <w:b/>
        </w:rPr>
        <w:t>E. 10</w:t>
      </w:r>
    </w:p>
    <w:p>
      <w:r>
        <w:t>September 2012 (vorinstanzliche Akten act. I./4) führte die Y._____ aus, es werde bestritten, dass am 18. November 2010 bereits sämtliche definitiven Masse vorgelegen hätten und dass sie sämtliche Arbeiten bereits bis spätestens am 18. Dezember 2010 hätte erbringen und beenden müssen (Ziff. 7 S. 5). Sie legte in jenem Zusammenhang dar, dass sie noch auf diverse Instruktionen angewiesen gewesen sei, um die Details der einzelnen Werke zu bewerkstelligen. Dies belegt auch die E-Mail von A._____ an den Architekten B._____ vom 10. Januar 2011 (vgl. vorinstanzliche Akten act. II./19). Die Behauptung des Berufungsklägers, die Berufungsbeklagte habe im vorinstanzlichen Verfahren anerkannt, dass die Masse nach Vertragsschluss nicht mehr angepasst worden seien, erweist sich damit als aktenwidrig. Das Vorliegen eines Verfalltaggeschäfts wurde von der Y._____ rechtsgenüglich bestritten. bd) Als weiteres Argument für ein Verfalltaggeschäft bringt der Berufungskläger vor, dass eine Änderung der Masse ohne Rücksprache mit ihm gar nicht möglich gewesen wäre. Dies, da der Werkvertrag aufgrund der im Voranschlag und im Werkvertrag aufgeführten Masse geschlossen worden sei. Der übereinstimmende</w:t>
      </w:r>
    </w:p>
    <w:p>
      <w:r>
        <w:t>Seite 12 — 21 Wille der Parteien sei daher auf die im Werkvertrag genannten Masse gegangen. Die angeblich neuen Masse hätten ihm schriftlich zur Genehmigung zugestellt werden müssen, da der Werkvertrag damit geändert worden wäre. Auch dies schliesse eine Nachmessung aus. Dies umso mehr, als für die im Werkvertrag enthaltenen Werke zu den entsprechenden Massen ein entsprechender Fixpreis vereinbart worden sei. Wären die Masse geändert worden, hätten auch die Preise angepasst werden müssen. Wie bereits vorstehend ausgeführt wurde, ist aufgrund der Zeugenaussage von B._____ erwiesen, dass eine Massbereinigung nach Ver- tragsschluss stattgefunden hat. Entgegen der Auffassung des Berufungsklägers bewirkt eine solche aber nicht grundsätzlich eine genehmigungsbedürftige Ver- tragsänderung. Das Werk, das der Unternehmer herzustellen und abzuliefern hat, muss auf Grund der übereinstimmenden Willenserklärungen bestimmt, zumindest aber genügend bestimmbar sein, damit ein Werkvertrag zustande kommt. Genü- gend bestimmbar ist das geschuldete Werk sicher schon dann, wenn die Parteien es in den Grundzügen vertraglich umschrieben, zugleich aber (ausdrücklich oder stillschweigend) vereinbart haben, dass die noch offenen Einzelheiten der Werk- ausführung sich nach den Umständen, nach einem Leistungsziel oder nach späte- rer Übereinkunft richten. Dass bei solchen Vertragsgestaltungen die Kosten der Werkausführung, wenn überhaupt, nur annähernd im Voraus berechenbar sind, steht einem wirksamen Vertragsabschluss auch dann nicht entgegen, wenn für die Vergütung eine Festpreisabrede getroffen wird (vgl. zum Ganzen Peter Gauch, a.a.O., N. 382 und Fussnote 13). Im vorliegenden Fall mussten die Masse der be- stellten Möbel und Wandverkleidungen auf die konkreten Verhältnisse in den be- treffenden Räumen abgestimmt werden. Wie dies der Zeuge B._____ auch aus- führte (vorinstanzliche Akten act. VI./2 S. 11), wurden daher in seiner Anwesenheit direkt auf der Baustelle noch die genauen Masse genommen, bevor die Möbel in Produktion gingen. Ein aktives Mitwirken des Bestellers selbst war hierfür nicht erforderlich, zumal es sich gerade nicht um eine Vertragsänderung handelte. be) Der Berufungskläger bringt des Weiteren vor, der Zeuge B._____ habe ausgesagt, dass die Lieferung teilweise auf Ende November 2010 hätte ausge- führt werden müssen. Wenn kein Fixgeschäft abgeschlossen worden wäre, hätte keine Lieferfrist bestanden. Diese Argumentation zielt ins Leere. Wie sich insbe- sondere aus der E-Mail des Berufungsklägers an seinen Architekten B._____ vom 17. November 2010 (vgl. Beilage zu act. V./2) 10 ergibt, stellte X._____ einen Zeitplan zusammen, um die verschiedenen Arbeiten auf der Baustelle zu koordi- nieren. Darin führte er auf, welcher Unternehmer bis Ende November welche Ar- beiten erledigt haben sollte, um den Umbau bis Silvester 2010 fertigstellen zu</w:t>
      </w:r>
    </w:p>
    <w:p>
      <w:r>
        <w:t>Seite 13 — 21 können. Betreffend die Werke der Berufungsbeklagten ist diesem Zeitplan zu ent- nehmen, dass bis Ende November die Türen montiert, die Boiserien in den Schlafzimmern und im Wohnzimmer angebracht und nach Möglichkeit die Schie- betür eingebaut sein sollten. Bevor die Badezimmer fertig gestellt würden, sollten die Schränke in den Schlafzimmern in Angriff genommen werden. Weiter führte er auf, dass noch keine Fensterbänke in Auftrag gegeben worden seien. Wie bereits dargelegt wurde, stellen Zeitangaben in Form eines Bauprogramms ohne anders- lautende Regelung grundsätzlich keine Verfalltage dar (Weber, a.a.O., N. 116). Es ist somit entgegen der Auffassung des Berufungsklägers sehr wohl möglich, ein Bauprogramm mit Lieferungsterminen aufzustellen, ohne ein Verfalltaggeschäft vereinbart zu haben. Allerdings handelt es sich bei diesen Terminen sodann ledig- lich um unverbindliche Richtlinien (vgl. hierzu Peter Gauch, Baurechtstagung 1995, Fristen und Termine - Die Bauzeit im Werkvertrag, S. 10; Gaudenz Zin- del/Urs Pulver a.a.O., N. 10 zu Art. 366). bf) Nach dem Gesagten kann festgehalten werden, dass aufgrund der Formu- lierungen im Werkvertrag vom 18. November 2010 sowie der eindeutigen Aussa- gen des Zeugen B._____ davon auszugehen ist, dass bei Vertragsschluss noch nicht sämtliche notwendigen Masse für die Fertigstellung der Werke vorlagen. Dementsprechend wurde entgegen der Auffassung des Berufungsklägers im kon- kreten Fall kein bestimmter Verfalltag im Sinne von Art. 102 Abs. 2 OR vereinbart. Die entsprechenden Ausführungen der Vorinstanz sind daher zu schützen. Des Weiteren sind die im Bauprogramm des Berufungsklägers festgelegten Termine nicht als verbindlich zu beachten, da dies im Vertrag nicht ausdrücklich vorgese- hen ist. Als verbindlicher Ablieferungstermin gilt damit einzig die Absprache, wo- nach die Lieferung innert 30 Tagen ab Erhebung der definitiven Masse zu erfolgen habe. Liegt demnach kein Verfalltaggeschäft gemäss Art. 102 Abs. 2 OR vor, bleibt in einem nächsten Schritt zu prüfen, ob die Vorgehensweise des Berufungs- klägers aufgrund der Rechtsbehelfe von Art. 102 Abs. 1 OR in Verbindung mit Art. 107 OR gerechtfertigt war. c) Wurde kein Verfalltag vereinbart, so kann der Schuldner durch Mahnung in Verzug gesetzt werden (Art. 102 Abs. 1 OR). Die Mahnung kann mit der Nach- fristansetzung nach Art. 107 Abs. 1 OR zeitlich zusammenfallen. Letztere beinhal- tet immer auch eine Mahnung, weshalb der Unternehmer spätestens mit der An- setzung einer Nachfrist gemahnt wird (vgl. Gauch, Der Werkvertrag, a.a.O., N. 667). In der Fristansetzung muss die Aufforderung enthalten sein, die verspäte- te Leistung innert einer bestimmten Zeitdauer vorzunehmen. Die Angemessenheit dieser Zeitdauer hängt von den Umständen des einzelnen Falles, namentlich von</w:t>
      </w:r>
    </w:p>
    <w:p>
      <w:r>
        <w:t>Seite 14 — 21 der Art der Leistung und dem Interesse des Gläubigers an der baldigen Erfüllung ab. Als angemessen gilt eine Frist dann, wenn sie - unter dem Gesichtspunkt der Zumutbarkeit gegenüber dem Schuldner - nach der Lage der Umstände ausreicht, um der Leistungsaufforderung nachzukommen (vgl. Rolf H. Weber, a.a.O., N. 66 ff. zu Art. 107; Andreas Thier, a.a.O., N. 3 zu Art. 107). Im konkreten Fall forderte X._____ die Berufungsbeklagte am 21. Dezember 2010 erstmalig auf, die noch nicht erledigten Arbeiten bis zum 24. Dezember 2010 fertig zu stellen (vorinstanz- liche Akten act. III./2). Mit anderen Worten mahnte der Berufungskläger die Y._____ und räumte ihr eine Nachfrist von drei Tagen ein. Dieses Schreiben er- folgte - wie sich aus dem Betreff ergibt - als Antwort auf eine E-Mail von A._____ vom 20. Dezember 2010 (vorinstanzliche Akten act. II./17) mit welcher dieser dem Berufungskläger mitteilte, dass es seiner Firma infolge der von X._____ angeord- neten Einstellung der Arbeiten ab dem 18. Dezember 2010 nicht möglich war, die laufenden Arbeiten gemäss dem mit dem Architekten B._____ festgelegten Zeit- plan zu erledigen. Deswegen seien sie auch nicht in der Lage, die Arbeiten inner- halb der Lieferfristen gemäss Vertrag zu beenden. Wie sich insbesondere aus ei- ner E-Mail des Architekten B._____ an X._____ (vorinstanzliche Akten act. II./18) ergibt, muss es sich bei der fraglichen Einstellung der Arbeiten um die Umsetzung einer Sperrfrist handeln, welche gemäss Baustatuten und Gewerkschaften vom 18. Dezember 2010 bis zum 17. Januar 2011 andauerte. Inwieweit und in wel- chem Umfang diese für die Handwerker der Berufungsbeklagten galt, lässt sich aus den Akten nicht herleiten. Aufgrund der vorgenannten E-Mail ging B._____ jedoch zum fraglichen Zeitpunkt davon aus, dass sämtliche Arbeiten der Y._____ betroffen waren und diese erst am 17. Januar 2011 wieder aufgenommen werden konnten. Immerhin war der Architekt B._____ - wie sich aus den Akten ergibt - die direkte Ansprechperson für das Unternehmen, wenn es um die Koordination und Durchführung der Arbeiten ging (vgl. hierzu beispielsweise vorinstanzliche Akten act. II./17 "direzioni lavori"). Allem Anschein nach wurde dies den Handwerkern auch so kommuniziert, weshalb diese die Baustelle am 17. Dezember 2010 ver- liessen. Unter diesem Aspekt erscheint die von X._____ angesetzte Nachfrist bis zum 24. Dezember 2010 als nicht angemessen, zumal die Berufungsbeklagte da- von ausgehen durfte, dass sie die Arbeiten von Gesetzes wegen nicht vor dem 17. Januar 2011 wieder aufnehmen durfte. Aufgrund der angeordneten Sperrzeit war es ihr objektiv gar nicht möglich, die noch ausstehenden Arbeiten innert der fest- gesetzten Nachfrist zu erbringen. Angesichts dieser besonderen Umstände war es der Berufungsbeklagten nach Treu und Glauben auch nicht zumutbar, dagegen Widerspruch einzulegen (vgl. hierzu Rolf H. Weber, a.a.O., N. 78).</w:t>
      </w:r>
    </w:p>
    <w:p>
      <w:r>
        <w:t>Seite 15 — 21 d) Nach dem Gesagten steht damit fest, dass die Parteien keinen Verfalltag für die Vertragserfüllung vereinbarten. Ein Rücktritt vom Vertrag gestützt auf die Mahnung und Nachfristansetzung vom 21. Dezember 2010 erweist sich infolge unangemessener Nachfrist als unzulässig. X._____ war somit nicht berechtigt, gestützt auf Art. 107 Abs. 2 OR vom Vertrag zurückzutreten und die noch nicht erbrachten Leistungen auf Kosten der Berufungsbeklagten durch eine Drittfirma vornehmen zu lassen. Damit erübrigt es sich, auf die weiteren Vorbringen des Be- rufungsklägers im Zusammenhang mit der Ersatzvornahme näher einzugehen. 5. Der Berufungskläger macht weiter geltend, er habe den Beweis erbracht, dass die Berufungsbeklagte die Werke nicht mehr rechtzeitig würde herstellen können. Gemäss den Zeugenaussagen des nachträglich zugezogenen Schreiners C._____ seien die Arbeiten einfach nicht fertig gewesen, weil die Zeit gefehlt ha- be. Dies belege, dass die Berufungsbeklagte die geschuldeten Arbeiten nicht wie vereinbart erbracht habe. a) Art. 366 Abs. 1 OR sanktioniert den Verzug in der Ausführung des Werkes. Dieser Schuldnerverzug tritt ein, wenn der Unternehmer sich mit der Herstellung des geschuldeten Werkes (objektiv) pflichtwidrig verspätet und vom Besteller, so- weit erforderlich, gemahnt wird. Eine Verspätung liegt sicher vor, wenn der Unter- nehmer mit der Ausführung des Werkes so sehr im Rückstand ist, dass die recht- zeitige Vollendung nicht mehr vorauszusehen ist. Je nachdem, ob die Parteien einen Vollendungstermin vereinbart haben oder nicht, kommt es für die Rechtzei- tigkeit der Werkvollendung darauf an, ob der vereinbarte Vollendungstermin ein- gehalten oder ob das Werk so frühzeitig vollendet wird, dass der Ablieferungster- min eingehalten werden kann. Des Weiteren verspätet sich der Unternehmer, wenn er mit der Herstellung des Werkes nicht rechtzeitig beginnt oder mit dem Fortschritt der Arbeit hinter einem verbindlichen Zeitprogramm zurückbleibt. Die Verzögerung des Unternehmers muss zudem objektiv pflichtwidrig sein. An die- sem Erfordernis fehlt es dann, wenn die Leistung des Unternehmers (objektiv) unmöglich geworden ist oder ein anderer Grund vorliegt, der die Verzögerung rechtfertigt wie beispielsweise bei Verzug der erforderlichen Vorbereitungs- oder anderen Mitwirkungshandlungen, wobei den Besteller hierbei kein Vorwurf treffen muss. Verzögerungen, welche auf der verspäteten Vorleistung eines Nebenunter- nehmers beruhen, begründen keinen Schuldnerverzug des Unternehmers (vgl. zum Ganzen Peter Gauch, Der Werkvertrag, a.a.O., N. 668 ff.). b) Der Zeuge C._____ sagte anlässlich seiner Befragung vom 1. Juli 2013 (vorinstanzliche Akten act. VI./3. S. 3) aus, die Arbeiter der Y._____ seien einfach</w:t>
      </w:r>
    </w:p>
    <w:p>
      <w:r>
        <w:t>Seite 16 — 21 nicht fertig gewesen. Es sei überall gearbeitet worden, aber die Schlussarbeiten hätten gefehlt. Der Schreiner C._____ wurde seitens des Berufungsklägers erst nach dem Rücktritt vom Vertrag mit der Y._____ (13. Januar 2011) zugezogen. Dies wird auch mit der Aussage bestätigt, dass C._____ mit den Arbeiten in der Liegenschaft von X._____ erst am 18. Januar 2011 angefangen habe (vorinstanz- liche Akten act. V./3. S. 4). Dass die Berufungsbeklagte zu diesem Zeitpunkt die von ihr zu erbringenden Arbeiten noch nicht fertiggestellt hatte, ist vorliegend un- bestritten. Dies beweist jedoch entgegen der Auffassung des Berufungsklägers nicht, dass sich die Y._____ infolge einer objektiven Pflichtwidrigkeit in einem Her- stellungsverzug befand. Wie bereits ausgeführt wurde, stellt das von X._____ er- stellte Bauprogramm keinen Vertragsbestandteil dar, weshalb die darin festgeleg- ten Termine nicht als verbindlich gelten. Eine Verspätung kann somit nicht schon darin erblickt werden, dass diese Terminplanung nicht eingehalten werden konnte. Des Weiteren ist die Zeugenaussage des Architekten B._____ zu berücksichtigen. Dieser gab anlässlich seiner Befragung zu Protokoll (vorinstanzliche Akten act. VI./2 S. 3), die Baustelle sei terminlich verspätet gewesen. Auch andere Handwer- ker seien mit ihren Arbeiten verspätet gewesen. Dies ziehe natürlich das ganze Terminprogramm nach vorne. Ausserdem habe es einige Änderungswünsche von X._____ gegeben. Die Abänderung der Bibliothek habe eine Verzögerung um ein paar Tage bewirkt (S. 8). Aus diesen Aussagen geht hervor, dass es Gründe für die Verzögerung auf der Baustelle gab, die nicht der Y._____ zuzuschreiben sind. Vielmehr muss davon ausgegangen werden, dass der Berufungskläger selbst für die Verspätungen verantwortlich war, zumal es durch seine Änderungswünsche zu einem Mehraufwand kam, welcher zu Verschiebungen im Zeitplan führte. Dies ergibt sich in dieser Form auch aus der E-Mail von A._____ an B._____ vom 10. Januar 2011 (vgl. vorinstanzliche Akten act. II./19), worin der Unternehmer um Präzisierungen hinsichtlich einzelner Einbauten verlangt, welche aufgrund von Änderungswünschen des Berufungsklägers erforderlich geworden sind. Entgegen der Auffassung des Berufungsklägers vermag daran die Aussage, wonach sich auch andere Handwerker im Verzug befunden hätten, nichts zu ändern. Wie be- reits vorstehend ausgeführt wurde, begründen verspätete Vorleistungsarbeiten durch andere am Vorhaben beteiligte Handwerker keinen Schuldnerverzug des Unternehmers. Auch sein Einwand, der Aussage von B._____ komme kein Be- weiswert zu, da es sich lediglich um eine Aussage vom Hörensagen handle, ist nicht zu hören. Wie seinen Ausführungen zu entnehmen ist, war er bis zum 13. Dezember 2010 auf der Baustelle und ist erst danach in die Ferien gefahren. Was somit seine Aussagen zu den Entwicklungen auf der Baustelle bis zu jenem Zeit- punkt betrifft, handelt es sich um unmittelbare Wahrnehmungen, denen volle Be-</w:t>
      </w:r>
    </w:p>
    <w:p>
      <w:r>
        <w:t>Seite 17 — 21 weiskraft zukommt. Zusammenfassend kann nach dem Gesagten festgehalten werden, dass der Nachweis einer objektiven Pflichtwidrigkeit der Y._____ nicht gelingt, weshalb eine Vorgehensweise nach Art. 366 Abs. 1 OR im konkreten Fall ausser Frage steht. 6. Befand sich der Berufungsbeklagte somit weder in Herstellungs- noch in Ablieferungsverzug, beurteilt sich der Vertragsrücktritt des Berufungsklägers nach Art. 377 OR, wobei er für bereits geleistete Arbeit ersatzpflichtig wird. Die Y._____ stellte hierfür den Betrag von Fr. 52'231.-- in Rechnung (vorinstanzliche Akten act. I./7), wobei sie zum einen sowohl die bereits erfolgte Akontozahlung von Fr. 50'000.-- und zum anderen Fr. 6'015.-- für nicht mehr hergestellte Möbel sowie Fr. 1'500.-- für nicht mehr ausgeführte Montagearbeiten in Abzug brachte. Die Vorin- stanz stellte hierzu fest, dass das genaue Mass der Boiserie umstritten sei und infolge fehlenden Beweises lediglich von den anerkannten 68.13m2 und nicht wie von der Y._____ behauptet von 115.16m2 ausgegangen werden könne. Des Wei- teren liege kein Beweis für die von der Klägerin geltend gemachten zusätzlichen Aufwendungen für Verkleidungsarbeiten und Regale in Höhe von Fr. 2'110.-- vor, weshalb auch dieser Betrag nicht anzurechnen sei. Somit sei vom vertraglich ver- einbarten Werklohn von Fr. 83'374.-- zuzüglich Fr. 13'626.-- für die Boiseriearbei- ten (Fr. 200.--/m2) und abzüglich der Akontozahlung von Fr. 50'000.-- und abzüg- lich Fr. 6'015.-- für nicht mehr hergestellte Möbel sowie Fr. 1'500.-- für nicht mehr ausgeführte Montagearbeiten auszugehen, was einen geschuldeten Werklohn von total Fr. 39'485.-- ergebe. a) Der Berufungskläger wendet dagegen zunächst ein, die Berufungsbeklagte habe den Vertrag nicht vollständig erfüllt, da die Möbel und das Material bloss ge- liefert, nicht aber eingebaut worden seien, obschon dies vertraglich vereinbart ge- wesen sei. Anhand der von der Firma C._____ erstellten und ins Recht gelegten Rechnungen und der Fotoaufnahmen sei erstellt, dass wohl das Material vorhan- den gewesen sei, dieses jedoch in der Liegenschaft nicht verbaut worden sei. Für die Fertigstellung der Einbauarbeiten, welche von der Berufungsbeklagten hätten erbracht werden müssen, habe die Firma C._____ rund 3 Wochen aufwenden müssen. Der hierfür in Rechnung gestellte Betrag von Fr. 18'750.-- stelle den Preis für die nicht erbrachte Arbeit der Berufungsbeklagten dar. In diesem Umfang habe die Berufungsbeklagte infolge Nichtbeendigung der Arbeiten Ersparnisse erzielt, welche vom geschuldeten Werklohn in Abzug zu bringen seien. Dieser Auffassung kann nicht gefolgt werden. Art. 377 OR verpflichtet den kündigenden Besteller zur vollen Schadloshaltung des Unternehmers. Diese Schadenersatzpflicht besteht unabhängig vom Verschulden des Bestellers. Zu ersetzen ist das positive Ver-</w:t>
      </w:r>
    </w:p>
    <w:p>
      <w:r>
        <w:t>Seite 18 — 21 tragsinteresse; der Unternehmer soll so gestellt werden, wie wenn der Vertrag er- füllt worden wäre. Dieses umfasst auch den entgangenen Gewinn. Massgebend ist die sich aus dem Vertrag ergebende Gewinnmarge, die der Richter nicht her- absetzen darf. In Abzug zu bringen ist jedoch, was der Unternehmer infolge der Auflösung des Werkvertrags anderweitig erwarb oder zu erwerben treuwidrig un- terlassen hat (vgl. zum Ganzen Gaudenz Z. Zindel/Urs Pulver in: Honsell/Vogt/ Wiegand [Hrsg.], Basler Kommentar, Obligationenrecht I, a.a.O., N. 15 f. zu Art. 377 mit zahlreichen Hinweisen). Wie aus der Rechnung der Y._____ (vorin- stanzliche Akten act. II./7) hervorgeht, ging diese vom vereinbarten Werklohn, welcher praxisgemäss die oberste Grenze des Schadenersatzanspruches bildet, aus und zog hiervon für nicht mehr hergestellte Möbel sowie für nicht mehr ausge- führte Montagearbeiten den Betrag von insgesamt Fr. 7'515.-- (Fr. 6'015.-- und Fr. 1'500.--) ab. Die Ersparnisse, welche die Unternehmerin durch die vorzeitige Be- endigung des Vertrags hatte, wurden somit bereits berücksichtigt. Auslagen, die dem Besteller für die Fertigstellung des Werkes entstanden sind, können nach der vorstehend zitierten Lehre nicht in Abzug gebracht werden. b) Der Berufungskläger rügt weiter, dass zwischen den Parteien nie eine Bau- abnahme stattgefunden habe, geschweige denn dass ihm jemals eine Schluss- rechnung zugestellt worden sei. Entsprechend sei es willkürlich und komme einer Verletzung des rechtlichen Gehörs gleich, wenn die Vorinstanz von einem verein- barten Werklohn in Höhe von Fr. 83'374.-- ausgehe, da der Berufungskläger nie eine Schlussrechnung erhalten habe. Der Berufungskläger verkennt dabei, dass der Werklohn bereits im Werkvertrag vom 18. November 2010 (vorinstanzliche Akten act. II./6) zum voraus genau bestimmt worden war. Dabei wurde für jedes zu erstellende Möbel einschliesslich Montagearbeiten ein exakter Preis festgelegt. Für die Erstellung der Boiserie wurde ein fester Preis pro Quadratmeter vereinbart. Demzufolge verpflichtete sich der Berufungskläger bereits bei Vertragsabschluss, für die bestellten Werke den Betrag von Fr. 83'374.-- zuzüglich Kosten für die Boi- serie von Fr. 200.-- pro m2 zu bezahlen. Der Bestand der Forderung ist damit auch ohne Schlussrechnung ausgewiesen. Überdies liegt entgegen den Behauptungen des Berufungsklägers eine Schlussrechnung der Y._____ bei den Akten (vorin- stanzliche Akten act. II./7), welche an den Berufungskläger adressiert ist. Ausser- dem wurde ihm mit Schreiben vom 11. März 2011 (vgl. vorinstanzliche Akten act. II./11), welches an den Architekten B._____ zu Handen von X._____ gerichtet, aber gemäss Vermerk auf dem Brief zusätzlich vorab an beide Personen via E- Mail zugestellt worden war, eine Zahlungsfrist bis zum 17. März 2011 angesetzt, um die Restforderung von Fr. 52'231.-- zu begleichen. Der Berufungskläger be-</w:t>
      </w:r>
    </w:p>
    <w:p>
      <w:r>
        <w:t>Seite 19 — 21 streitet zwar, diese Schlussrechnung und das genannte Schreiben jemals erhalten zu haben. Gleichzeitig gesteht er jedoch in seiner Klageantwort vom 25. Juni 2012 (vorinstanzliche Akten act. I./2 S. 18) ein, die Schlusszahlung zurückbehalten zu haben. Der Architekt B._____ erklärte anlässlich seiner Befragung zwar, sich nicht daran erinnern zu können, die Rechnung und die Zahlungsaufforderung erhalten zu haben, räumte aber gleichzeitig ein, er habe die Rechnung nicht verifizieren können, was wiederum deren Erhalt voraussetzt. Unter diesen Umständen ist die Behauptung des Berufungsklägers, keine Kenntnis von der Rechnung gehabt zu haben, als reine Schutzbehauptung zu qualifizieren. c) Der Berufungskläger macht schliesslich geltend, die Berufungsbeklagte ha- be die gemäss Werkvertrag geschuldeten Arbeiten nicht nur nicht fertiggestellt, sondern zudem auch untaugliches und fehlerhaftes Material geliefert. Ausserdem hätten verschiedene Möbel umgearbeitet werden müssen, da die Masse nicht ge- stimmt hätten und die Gegenstände nur teilweise gebrauchstauglich gewesen sei- en. Mit anderen Worten macht er Werkmängel geltend, welche seiner Ansicht nach zu einer Reduktion des vereinbarten Werklohns führen müssten. Dabei übersieht er jedoch - wie die Berufungsbeklagte zu Recht einwendet -, dass er es unterlassen hat, rechtzeitig eine Mängelrüge zu erheben. Dass eine solche aus- geblieben ist, gesteht er in seiner Klageantwort (vorinstanzliche Akten act. I./2 S. 20) auch ein, indem er ausführt, es wäre Sache des Architekten B._____ gewe- sen, allfällige Mängelrechte gegenüber der Y._____ rechtzeitig geltend zumachen. Dies umso mehr, als er diesem die Mängelliste vom 16. Januar 2011 habe zu- kommen zu lassen. In diesem Zusammenhang ebenfalls zu berücksichtigen ist die Aussage von C._____, welcher auf die Frage hin, ob die Berufungsbeklagte unge- nau gearbeitet habe, ausführte, dass man dies nicht so sagen könne. Bis am Schluss wären sie wohl fertig gekommen, aber es habe die Zeit gefehlt. Er denke, dass es daran gelegen habe (vorinstanzliche Akten, act. V./3 S. 5). Somit sind die von X._____ geltend gemachten Mängel nicht rechtsgenüglich nachgewiesen und wären aufgrund der fehlenden Mängelrüge ohnehin nicht zu beachten. 7. Zusammenfassend bleibt festzuhalten, dass der Berufungsbeklagte weder gestützt auf Art. 102 ff. OR noch gestützt auf Art. 366 OR berechtigt war, vom Ver- trag zurückzutreten. Somit beurteilt sich der Vertragsrücktritt des Berufungsklägers nach Art. 377 OR, wobei er für bereits geleistete Arbeit ersatzpflichtig wird. Dabei sind, ausgehend vom vertraglich fix vereinbarten Werklohn, lediglich die bereits geleistete Akontozahlung sowie die von der Berufungsbeklagten zugestandenen Einsparungen an nicht mehr hergestellten Möbeln und nicht mehr ausgeführten Montagearbeiten sowie die flächenmässig geringer ausgefallenen Boiseriearbeiten</w:t>
      </w:r>
    </w:p>
    <w:p>
      <w:r>
        <w:t>Seite 20 — 21 in Abzug zu bringen. Allfällige Mängel, welche der Berufungskläger geltend macht, sowie Auslagen, die infolge der Fertigstellung der Arbeiten durch eine Drittfirma entstanden sind, bleiben unberücksichtigt. Daraus resultiert, dass X._____ - in Bestätigung des vorinstanzlichen Entscheides - zu verpflichten ist, der Y._____ einen Werklohn von Fr. 39'485.-- zuzüglich 5% Zins seit dem 17. März 2011 zu bezahlen. Damit ist die Berufung von X._____ sowohl im Hauptpunkt wie auch im Eventualantrag vollumfänglich abzuweisen. Bei diesem Ausgang bleibt es auch bei der vorinstanzlichen Kostenregelung. 8. Gemäss Art. 106 Abs. 1 ZPO werden die Prozesskosten der unterliegenden Partei auferlegt. Demzufolge gehen im vorliegenden Fall die Kosten des Verfah- rens von Fr. 8'000.-- zu Lasten von X._____. Dieser hat überdies der obsiegenden Y._____ eine volle Parteientschädigung zu entrichten. Deren Rechtsvertreterin, Rechtsanwalt lic. iur. Ylenia Baretta Mazzoni, reichte mit Datum vom 10. Juli 2014 eine Honorarnote über den Betrag von Fr. 3'669.40 ein, wobei sie einen zeitlichen Aufwand von 14.25 h zu einem Stundenansatz von Fr. 250.-- zuzüglich 3% Klein- spesenpauschale geltend machte. Dies erscheint unter Berücksichtigung der mutmasslichen notwendigen Bemühungen und der Schwierigkeit der Sache als angemessen. X._____ ist demnach zu verpflichten, der Y._____ eine Parteien- tschädigung in Höhe von Fr. 3'669.40 zu entrichten.</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